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5C63A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Załącznik nr </w:t>
      </w:r>
      <w:r w:rsidR="002C5CA4" w:rsidRPr="003B316C">
        <w:rPr>
          <w:rFonts w:ascii="Arial" w:eastAsia="Calibri" w:hAnsi="Arial" w:cs="Arial"/>
          <w:sz w:val="20"/>
          <w:lang w:eastAsia="pl-PL"/>
        </w:rPr>
        <w:t>3</w:t>
      </w:r>
    </w:p>
    <w:p w14:paraId="1A027132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Do Regulaminu Naboru na wolne stanowiska urzędnicze,</w:t>
      </w:r>
    </w:p>
    <w:p w14:paraId="6ABD41A2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tym kierownicze stanowiska urzędnicze </w:t>
      </w:r>
    </w:p>
    <w:p w14:paraId="798BE613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Biurze Związku Międzygminnego </w:t>
      </w:r>
    </w:p>
    <w:p w14:paraId="07065B45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„Gospodarka Odpadami Aglomeracji Poznańskiej”</w:t>
      </w:r>
    </w:p>
    <w:p w14:paraId="19E81CFE" w14:textId="77777777" w:rsidR="00440EF0" w:rsidRPr="003B316C" w:rsidRDefault="00440EF0" w:rsidP="00440EF0">
      <w:pPr>
        <w:rPr>
          <w:rFonts w:ascii="Arial" w:hAnsi="Arial" w:cs="Arial"/>
        </w:rPr>
      </w:pPr>
    </w:p>
    <w:p w14:paraId="78ACF537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1E4840FC" w14:textId="77777777" w:rsidR="00BD295C" w:rsidRPr="003B316C" w:rsidRDefault="00BD295C" w:rsidP="00BD295C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54F1BCB7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58E1A906" w14:textId="77777777"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641E1E46" w14:textId="77777777"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727C4E20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25CE14A4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6DFAAA85" w14:textId="77777777" w:rsidR="00BD295C" w:rsidRPr="003B316C" w:rsidRDefault="00BD295C" w:rsidP="00BD295C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446CB371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 w:rsid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192CCB19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="002C5CA4"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 xml:space="preserve">.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Dz. U. 201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>9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 xml:space="preserve"> poz. 1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>781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667837C6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2D00A1E3" w14:textId="536404A0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 w:rsidR="00A46786">
        <w:rPr>
          <w:rFonts w:ascii="Arial" w:eastAsia="Times New Roman" w:hAnsi="Arial" w:cs="Arial"/>
          <w:iCs/>
          <w:color w:val="000000"/>
          <w:lang w:eastAsia="pl-PL"/>
        </w:rPr>
        <w:t>ds. strategii i analiz.</w:t>
      </w:r>
    </w:p>
    <w:p w14:paraId="0C4F5E14" w14:textId="775D4CE0" w:rsidR="00BD295C" w:rsidRPr="00163781" w:rsidRDefault="00BD295C" w:rsidP="0016378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Inspektorem ochrony danych w Związku Międzygminnym „Gospodarka Odpadami Aglomeracji Poznańskiej” z siedzibą przy ul. św. Michała 43, 61-119 Poznań jest </w:t>
      </w:r>
      <w:r w:rsidR="00A46786">
        <w:rPr>
          <w:rFonts w:ascii="Arial" w:eastAsia="Times New Roman" w:hAnsi="Arial" w:cs="Arial"/>
          <w:iCs/>
          <w:color w:val="000000"/>
          <w:lang w:eastAsia="pl-PL"/>
        </w:rPr>
        <w:t>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5BD8EC39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2BEB2112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76608B9F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70D95C07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5DAC6FC1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3B4818A7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57E69AD4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14:paraId="44CEA0E4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45FF178E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66377C6C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79AD3344" w14:textId="77777777" w:rsidR="00BD295C" w:rsidRPr="003B316C" w:rsidRDefault="00BD295C" w:rsidP="00BD295C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0494B776" w14:textId="77777777" w:rsidR="00BD295C" w:rsidRPr="003B316C" w:rsidRDefault="00BD295C" w:rsidP="00BD295C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584ED1CE" w14:textId="77777777"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 w:rsid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62D39E8E" w14:textId="77777777" w:rsidR="00440EF0" w:rsidRPr="003B316C" w:rsidRDefault="00440EF0" w:rsidP="00BD295C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sectPr w:rsidR="00440EF0" w:rsidRPr="003B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F0"/>
    <w:rsid w:val="00163781"/>
    <w:rsid w:val="002C5CA4"/>
    <w:rsid w:val="003B316C"/>
    <w:rsid w:val="00440EF0"/>
    <w:rsid w:val="005E1062"/>
    <w:rsid w:val="00A46786"/>
    <w:rsid w:val="00BD295C"/>
    <w:rsid w:val="00DF0ADA"/>
    <w:rsid w:val="00E6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0F18"/>
  <w15:chartTrackingRefBased/>
  <w15:docId w15:val="{D470ACBF-3813-4474-8666-25672279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E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29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2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Surdyk</dc:creator>
  <cp:keywords/>
  <dc:description/>
  <cp:lastModifiedBy>Magdalena Kostowiecka</cp:lastModifiedBy>
  <cp:revision>2</cp:revision>
  <dcterms:created xsi:type="dcterms:W3CDTF">2020-10-27T13:55:00Z</dcterms:created>
  <dcterms:modified xsi:type="dcterms:W3CDTF">2020-10-27T13:55:00Z</dcterms:modified>
</cp:coreProperties>
</file>